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КОМИТЕТ РОССИЙСКОЙ ФЕДЕРАЦИИ ПО СТРОИТЕЛЬСТВУ И ЖИЛИЩНО-КОММУНАЛЬНОМУ КОМПЛЕКСУ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(Госстрой России)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i13120"/>
      <w:r w:rsidRPr="002772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УКАЗАНИЯ</w:t>
      </w:r>
      <w:bookmarkEnd w:id="0"/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ПРИМЕНЕНИЮ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ЕДИНИЧНЫХ РАСЦЕНОК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ПУСКОНАЛАДОЧНЫЕ РАБОТЫ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(ФЕРп-2001)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МДС 81-40.2006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i21385"/>
      <w:r w:rsidRPr="002772AF">
        <w:rPr>
          <w:rFonts w:ascii="Times New Roman" w:eastAsia="Times New Roman" w:hAnsi="Times New Roman" w:cs="Times New Roman"/>
          <w:b/>
          <w:bCs/>
          <w:lang w:eastAsia="ru-RU"/>
        </w:rPr>
        <w:t>Москва 2006</w:t>
      </w:r>
      <w:bookmarkEnd w:id="1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7276"/>
      </w:tblGrid>
      <w:tr w:rsidR="002772AF" w:rsidRPr="002772AF" w:rsidTr="002772AF">
        <w:trPr>
          <w:tblCellSpacing w:w="0" w:type="dxa"/>
          <w:jc w:val="center"/>
        </w:trPr>
        <w:tc>
          <w:tcPr>
            <w:tcW w:w="11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</w:p>
        </w:tc>
        <w:tc>
          <w:tcPr>
            <w:tcW w:w="38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«Центральный научно-исследовательский институт экономики и управления в строительстве» (ЦНИИЭУС) Госстроя России (М.Ю. Матвеев, к.т.н. Ж.Г. Чернышева), ООО «Координационный центр по ценообразованию и сметному нормированию в строительстве (Л.В.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Размадзе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1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</w:t>
            </w:r>
          </w:p>
        </w:tc>
        <w:tc>
          <w:tcPr>
            <w:tcW w:w="38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ценообразования и сметного нормирования в строительстве Госстроя России (Редакционная комиссия:</w:t>
            </w:r>
            <w:proofErr w:type="gram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Степанов - руководитель, Т.Л.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Грищенкова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5858"/>
      </w:tblGrid>
      <w:tr w:rsidR="002772AF" w:rsidRPr="002772AF" w:rsidTr="002772AF">
        <w:trPr>
          <w:tblCellSpacing w:w="0" w:type="dxa"/>
          <w:jc w:val="center"/>
        </w:trPr>
        <w:tc>
          <w:tcPr>
            <w:tcW w:w="18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</w:t>
            </w:r>
            <w:proofErr w:type="gramEnd"/>
            <w:r w:rsidRPr="00277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ВВЕДЕНЫ В ДЕЙСТВИЕ</w:t>
            </w:r>
          </w:p>
        </w:tc>
        <w:tc>
          <w:tcPr>
            <w:tcW w:w="31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Госстроя России от 01.09.2003 № 160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i38942"/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bookmarkEnd w:id="2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2772AF" w:rsidRPr="002772AF" w:rsidTr="002772AF">
        <w:trPr>
          <w:tblCellSpacing w:w="0" w:type="dxa"/>
          <w:jc w:val="center"/>
        </w:trPr>
        <w:tc>
          <w:tcPr>
            <w:tcW w:w="1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38942" w:history="1">
              <w:r w:rsidR="002772AF" w:rsidRPr="0027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ОБЩИЕ ПОЛОЖЕНИЯ</w:t>
              </w:r>
            </w:hyperlink>
          </w:p>
          <w:p w:rsidR="002772AF" w:rsidRPr="002772AF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74743" w:history="1">
              <w:r w:rsidR="002772AF" w:rsidRPr="0027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ПОРЯДОК ПРИМЕНЕНИЯ ФЕДЕРАЛЬНЫХ ЕДИНИЧНЫХ РАСЦЕНОК НА ПУСКОНАЛАДОЧНЫЕ РАБОТЫ</w:t>
              </w:r>
            </w:hyperlink>
          </w:p>
          <w:p w:rsidR="002772AF" w:rsidRPr="002772AF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127530" w:history="1">
              <w:r w:rsidR="002772AF" w:rsidRPr="0027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3. ПОРЯДОК ОПРЕДЕЛЕНИЯ ЕДИНИЧНЫХ РАСЦЕНОК ПО ОБОРУДОВАНИЮ, ОТСУТСТВУЮЩЕМУ В СБОРНИКАХ </w:t>
              </w:r>
              <w:proofErr w:type="spellStart"/>
              <w:r w:rsidR="002772AF" w:rsidRPr="0027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ФЕРп</w:t>
              </w:r>
              <w:proofErr w:type="spellEnd"/>
            </w:hyperlink>
          </w:p>
          <w:p w:rsidR="002772AF" w:rsidRPr="002772AF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137492" w:history="1">
              <w:r w:rsidR="002772AF" w:rsidRPr="0027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 ПОРЯДОК РАЗРАБОТКИ ИНДИВИДУАЛЬНЫХ ЕДИНИЧНЫХ РАСЦЕНОК НА ПУСКОНАЛАДОЧНЫЕ РАБОТЫ</w:t>
              </w:r>
            </w:hyperlink>
          </w:p>
          <w:p w:rsidR="002772AF" w:rsidRPr="002772AF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142392" w:history="1">
              <w:r w:rsidR="002772AF" w:rsidRPr="00277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5. ОПРЕДЕЛЕНИЕ СМЕТНОЙ СТОИМОСТИ ПУСКОНАЛАДОЧНЫХ РАБОТ</w:t>
              </w:r>
            </w:hyperlink>
          </w:p>
          <w:p w:rsidR="002772AF" w:rsidRPr="004F07A8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191871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1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anchor="i217538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 сборников федеральных единичных расценок на пусконаладочные работы (</w:t>
              </w:r>
              <w:proofErr w:type="spellStart"/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ФЕРп</w:t>
              </w:r>
              <w:proofErr w:type="spellEnd"/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2772AF" w:rsidRPr="004F07A8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225827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2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anchor="i247761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№ 1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anchor="i251316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Расчет индивидуальной единичной расценки на пусконаладочные работы</w:t>
              </w:r>
            </w:hyperlink>
          </w:p>
          <w:p w:rsidR="002772AF" w:rsidRPr="004F07A8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262843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3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anchor="i287546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Формы сметной документации на пусконаладочные работы</w:t>
              </w:r>
            </w:hyperlink>
          </w:p>
          <w:p w:rsidR="002772AF" w:rsidRPr="004F07A8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291860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№ 2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i304181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Сводная смета на ввод в эксплуатацию</w:t>
              </w:r>
            </w:hyperlink>
          </w:p>
          <w:p w:rsidR="002772AF" w:rsidRPr="004F07A8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317235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№ 3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i335139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Локальный сметный расчет № ___ (локальная смета)</w:t>
              </w:r>
            </w:hyperlink>
          </w:p>
          <w:p w:rsidR="002772AF" w:rsidRPr="004F07A8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341879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№ 4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i363083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Сметный расчет № __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anchor="i376380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стоимости сырья, материальных и топливно-энергетических ресурсов для пусконаладочных работ и комплексного опробования оборудования</w:t>
              </w:r>
            </w:hyperlink>
          </w:p>
          <w:p w:rsidR="002772AF" w:rsidRPr="002772AF" w:rsidRDefault="004F07A8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387269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№ 5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anchor="i401070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Сметный расчет № __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i418091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затрат на содержание эксплуатационного персонала на период пусконаладочных работ и комплексного опробования оборудования</w:t>
              </w:r>
            </w:hyperlink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1. ОБЩИЕ ПОЛОЖЕНИЯ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Указания устанавливают единый порядок применения сборников федеральных единичных расценок на пусконаладочные работы на вводимых в эксплуатацию строящихся, реконструируемых, расширяемых и технически перевооружаемых предприятиях, зданиях и сооружениях.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Указания содержат положения, являющиеся общими для всех федеральных единичных расценок на пусконаладочные работы (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включенных в сборники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которых приведен</w:t>
      </w:r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27" w:anchor="i204044" w:tooltip="Перечень сборников федеральных единичных расценок на пусконаладочные работы (ФЕРп)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1</w:t>
        </w:r>
      </w:hyperlink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технических частях и вводных указаниях сборников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положения, обусловленные особенностями пусконаладочных работ при вводе в эксплуатацию тех или иных видов оборудования, устройств, систем, которые необходимо учитывать при применении соответствующих сборников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составной частью системы ценообразования и сметного нормирования в строительстве, действующей на территории Российской Федерации.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по номенклатуре оборудования межотраслевого применения.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специального технологического оборудования предприятий и производств отраслей экономики разрабатываются отраслевые единичные расценки на пусконаладочные работы (ОЕРп-2001), утверждаемые и вводимые в действие министерствами, ведомствами, другими отраслевыми структурами (ассоциациями, корпорациями) по согласованию с соответствующим уполномоченным федеральным органом исполнительной власти в области строительства.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в качестве основы для разработки сборников территориальных единичных расценок на пусконаладочные работы (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учитывающих номенклатуру работ, условия строительства и уровень оплаты труда в соответствующих регионах.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объектам, финансирование которых осуществляется за счет средств федерального бюджета, наравне с территориальными единичными расценками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при отсутствии в регионах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источников финансирования), могут применяться федеральные единичные расценки (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пересчетом их в территориальный уровень цен.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Указаний по применению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положения не должны противоречить положениям настоящих Указаний.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Указаний по применению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выполняться требования настоящих Указаний с учетом региональной специфики выполнения пусконаладочных работ.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прямых затрат в составе сметной стоимости пусконаладочных работ;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составления сметных расчетов (смет) на пусконаладочные работы базисно-индексным методом;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расчетов между заказчиками и подрядчиками за выполненные пусконаладочные работы;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укрупненных сметных нормативов, используемых на стадии технико-экономических обоснований строительства зданий и сооружений, для составления инвесторских смет и выполнения укрупненных финансово-экономических расчетов;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и организации производства пусконаладочных работ;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экономического анализа затрат на строительство при выборе оптимальных проектных решений.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среднеотраслевой уровень затрат по принятой в них технологии и организации производства пусконаладочных работ.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корректировка единичных расценок в зависимости от способа производства работ, за исключением случаев, предусмотренных настоящими Указаниями, а также техническими частями и вводными указаниями сборников.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исходя из следующих условий: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оборудование, как правило, отечественное, серийное, укомплектованное, с технической документацией, с установленным системным и прикладным программным обеспечением, срок его хранения на складе не превышает нормативного;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дефекты оборудования, выявленные при производстве пусконаладочных работ, устраняются заказчиком, а дефекты монтажа - монтажной организацией;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пусконаладочные работы выполняются организациями, имеющими лицензию на проведение данных видов работ; при выполнении работ на объектах, поднадзорных органам государственного технического надзора, дополнительно имеются лицензии этих ведомств;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- исполнители работ имеют квалификацию, соответствующую технической сложности оборудования, устройств, систем, прошли необходимое обучение, аттестацию или сертификацию, обеспечены необходимым производственным оборудованием, измерительными приборами, контрольно-испытательными стендами, инструментом, средствами защиты и т.п.;</w:t>
      </w:r>
      <w:proofErr w:type="gramEnd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пусконаладочные работы выполняются на основании утвержденной заказчиком рабочей документации, при необходимости - с учетом проекта производства работ (ППР), программы и графика;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производству пусконаладочных работ приступают при наличии у заказчика документов об окончании монтажных работ, предусмотренных СНиП (актов, протоколов и др.). При возникновении вынужденных перерывов между монтажными и наладочными работами по причинам, не зависящим от подрядной организации, к пусконаладочным работам приступают после проверки сохранности ранее смонтированного оборудования;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переключения режимов работы технологического оборудования производятся заказчиком в соответствии с проектом, регламентом и в периоды, предусмотренные согласованными программами и графиками производства работ;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условия, вызванные специфическими особенностями оборудования, систем, сооружений, нашедшие отражение в соответствующих сборниках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на основе: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сборников государственных элементных сметных норм на пусконаладочные работы (ГЭСНп-2001), утвержденных и введенных в действие Госстроем России. Каждому сборнику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сборник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ГЭСНп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 же номером и наименованием;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уровня оплаты труда пусконаладочного персонала, принятого на основании данных государственной статистической отчетности в строительстве по базовому территориальному району (Московская область) по состоянию на 1 января 2000 года.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техническую часть, вводные указания к отделам или разделам, таблицы единичных расценок и необходимые приложения.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технических частях сборников приводятся положения, касающиеся состава и порядка применения единичных расценок данного сборника, конкретизирующие положения настоящих Указаний или отличающиеся от них. Положения, приведенные в технической части какого-либо сборника, не распространяются на другие сборники.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вводных указаниях к отделам и разделам сборников содержатся сведения о порядке применения единичных расценок данного отдела или раздела, обусловленные особенностями пусконаладочных работ соответствующего оборудования. Применять вводные указания к единичным расценкам других отделов или разделов не допускается.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шифр, наименование, измеритель, аналогичные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ГЭСНп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сборника.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номера (шифра) сборников единичных расценок (например: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81-04-01-2001) означает:</w:t>
      </w:r>
      <w:proofErr w:type="gramEnd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федеральные единичные расценки на пусконаладочные работы;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81 (первая группа цифр) - шифр сметных нормативов;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04 (вторая группа цифр) - шифр сборников федеральных единичных расценок на пусконаладочные работы;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(третья группа цифр) - порядковый номер сборника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2001 (четвертая группа цифр) - присвоенный год выпуска сметно-нормативной базы, разработанной в уровне цен по состоянию на 01.01.2000 г.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расценки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 01-01-001-01) состоит: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01 (первая группа цифр) - номер сборника (два знака);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 (вторая группа цифр) - номер отдела (два знака);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001 (третья группа цифр) - порядковый номер таблицы в данном отделе (три знака);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01 (четвертая группа цифр) - порядковый номер расценки (два знака).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1.11.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и технические характеристики оборудования содержат основные признаки, влияющие на трудоемкость пусконаладочных работ.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отдельных характеристик (производительность, мощность, объем, давление и т.п., приведенные со словом «до», следует понимать включительно, а со словом «от» - исключая указанную величину, т.е. свыше.</w:t>
      </w:r>
      <w:proofErr w:type="gramEnd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показатели сметных прямых затрат, установленные на соответствующий измеритель оборудования или видов пусконаладочных работ: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прямые затраты (оплата труда пусконаладочного персонала), в руб.;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затраты труда,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чел.-ч.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1.13.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приводятся: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материальных (в том числе энергетических) ресурсов, сырья и полуфабрикатов, используемых при проведении пусконаладочных работ, включая комплексное опробование оборудования, обеспечиваемых заказчиком;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оплату труда эксплуатационного персонала, привлекаемого для участия в пуске и комплексном опробовании оборудования;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материальных ресурсов, сырья, полуфабрикатов, а также затраты на содержание эксплуатационного персонала в период пусконаладочных работ определяются на основании проектных данных и учитываются в сметной документации в порядке, изложенном в </w:t>
      </w:r>
      <w:hyperlink r:id="rId28" w:anchor="i152316" w:tooltip="ОПРЕДЕЛЕНИЕ СМЕТНОЙ СТОИМОСТИ ПУСКОНАЛАДОЧНЫХ РАБОТ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Указаний.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i48409"/>
      <w:bookmarkEnd w:id="3"/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1.14.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расценках учтены затраты на выполнение комплекса пусконаладочных работ, установленного с учетом требований: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отраслевых стандартов;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технической документации предприятий - изготовителей оборудования, инструкций, технологических регламентов, руководящих технических материалов и другой технической документации по монтажу, наладке и эксплуатации оборудования;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соответствующих глав 3-й части СНиП «Организация, производство и приемка работ»;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государственного технического надзора по охране труда и технике безопасности, пожарной и газовой безопасности, охране окружающей среды.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пусконаладочных работ, учтенных расценками, как правило, включает: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организационную и инженерную подготовку работ;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проектной и технической документации;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обследование объекта, внешний осмотр оборудования и выполненных монтажных работ;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проводимых монтажными организациями индивидуальных испытаниях оборудования;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соответствия технических характеристик смонтированного оборудования техническим требованиям, установленным технической документацией предприятий-изготовителей оборудования и проектом;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регулировку, настройку отдельных видов оборудования, входящих в состав технологических систем, блоков, линий, с целью обеспечения установленной проектом их взаимосвязанной работы;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пробный пуск оборудования по проектной схеме на инертной среде с проверкой готовности и наладкой работы оборудования в комплекте с системами обеспечения-управления, регулировки, блокировки, защиты, сигнализации, автоматизации и связи, перевод оборудования на работу под нагрузкой;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опробование оборудования с наладкой технологического процесса и выводом на устойчивый проектный технологический режим, обеспечивающий выпуск первой партии продукции (оказание услуг), предусмотренной проектом, в соответствующем объеме.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состав пусконаладочных работ, учитываемых в единичных расценках, приводится в технических частях и вводных указаниях сборников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соответствующих сборниках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ГЭСНп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1.15.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не учтены затраты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электроналадочные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определяемые по сборнику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«Электротехнические устройства»;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пусконаладочные работы по автоматизированным системам управления (включая АСУТП), определяемые по сборнику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«Автоматизированные системы управления»;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пусконаладочные работы по другим видам оборудования и системам, о чем имеются необходимые сведения в соответствующих сборниках.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1.16.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предусмотренные отделом 02 «Испытание и наладка систем вентиляции и кондиционирования воздуха на санитарно-гигиенические (технологические) требования к воздушной среде» сборника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«Системы вентиляции и кондиционирования воздуха», выполняются на действующих предприятиях (зданиях и сооружениях) при достижении проектной мощности.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включенные в отдел 08 «Режимно-наладочные испытания» Сборника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«Теплоэнергетическое оборудование», также проводятся на действующих объектах с целью достижения максимально возможного коэффициента полезного действия (КПД)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рабочих нагрузках.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указанных работ по сборникам № 3 и № 7, не относящихся к пусконаладочным работам и выполняемых только на действующих предприятиях, по отдельному договору с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заказчиком, не включается в сводную смету на ввод в эксплуатацию предприятия, здания, сооружения.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54874"/>
      <w:bookmarkEnd w:id="4"/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1.17.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единичных расценках не учтены затраты на выполнение следующих работ, не относящихся к пусконаладочным работам: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ревизию оборудования, устранение его дефектов и дефектов монтажа, недоделок строительно-монтажных работ; проектно-конструкторские работы;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корректировку и доработку прикладного программного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загрузку оборудования программным обеспечением;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эксплуатационной и сметной документации;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сдачу средств измерения в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госповерку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выполненных работ с надзорными органами;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наладочные работы в период освоения проектной мощности объектов;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обслуживание и периодические проверки оборудования в период его эксплуатации.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1.18.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пусконаладочные работы при вводе в эксплуатацию отдельных видов временных зданий и сооружений (электростанций, трансформаторных подстанций, котельных, насосных, компрессорных станций и т.п.) относятся к затратам на строительство титульных временных зданий и сооружений, включаемых в главу 8 «Временные здания и сооружения» сводного сметного расчета стоимости строительства. Указанные затраты на пусконаладочные работы учтены в сметных нормах затрат на строительство временных зданий и сооружений (ГСН 81-05-01-2001).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1.19.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пусконаладочные работы, имеющие место при перебазировке строительных машин с одной строительной площадки (базы механизации) на другую строительную площадку (базу механизации), если это связано с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демонтажом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последующим монтажом строительных машин (кранов башенных, кранов на гусеничном ходу, сваебойной техники и др.), учитываются в сметных нормах и расценках на эксплуатацию соответствующих строительных машин.</w:t>
      </w:r>
      <w:proofErr w:type="gramEnd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1.20.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средств на оплату труда пусконаладочного персонала рассчитан на основании трудоемкости и состава звена исполнителей работ, приведенных в соответствующих сборниках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ГЭСНп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стоимости 1 чел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ч по категориям работников-исполнителей пуско-наладочных работ, приведенной в табл. 1.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i63761"/>
      <w:bookmarkEnd w:id="5"/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5291"/>
      </w:tblGrid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работника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чел</w:t>
            </w: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руб.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18,28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16,93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15,47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2 категории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14,12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3 категории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12,66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1 категории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 2 категории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6 разряда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5 разряда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4 разряда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3 разряда</w:t>
            </w:r>
          </w:p>
        </w:tc>
        <w:tc>
          <w:tcPr>
            <w:tcW w:w="28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Стоимости 1 чел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ч приняты исходя из среднестатистического уровня оплаты труда в базовом территориальном районе (Московская область) по состоянию на 1 января 2000 года в размере 1600 руб. в месяц (1 чел.-ч - 9,62 руб.), что соответствует оплате труда рабочего 4-го разряда, при среднемесячном нормативном количестве рабочих часов 166,25 (при 40-часовой рабочей неделе) - согласно постановлению Минтруда России от 07.02.2000 № 2092.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стоимости 1 чел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ч включены расходы по оплате труда (ФОТ), в том числе компенсационные выплаты, связанные с режимом и условиями труда, а также стимулирующие доплаты и надбавки (премии, вознаграждения и т.п.).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1.21.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сметных расчетов (смет) на пусконаладочные работы ссылки на техническую часть сборника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обозначать ее начальными буквами и номером соответствующего пункта, например, ТЧ-5, что должно означать: техническая часть, п. 5. Аналогичным образом ссылки на вводные указания к отделам и разделам сборников обозначаются ВУ с добавлением номера пункта.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6" w:name="i74743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2. ПОРЯДОК ПРИМЕНЕНИЯ ФЕДЕРАЛЬНЫХ ЕДИНИЧНЫХ РАСЦЕНОК НА ПУСКОНАЛАДОЧНЫЕ РАБОТЫ</w:t>
      </w:r>
      <w:bookmarkEnd w:id="6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Единичными расценками предусмотрено выполнение пусконаладочных работ в нормальных условиях, не осложненных внешними факторами, при положительной температуре окружающей среды. Затраты, связанные с оформлением специальных допусков к работе, специальных пропусков или разрешений, расценками не учитываются.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пусконаладочных работ в более сложных производственных условиях по сравнению с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вследствие чего снижается производительность труда исполнителей работ, к заработной плате и к затратам труда необходимо применять коэффициенты, приведенные в табл. 2.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500"/>
        <w:gridCol w:w="1420"/>
      </w:tblGrid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0" w:type="pct"/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производства работ</w:t>
            </w:r>
          </w:p>
        </w:tc>
        <w:tc>
          <w:tcPr>
            <w:tcW w:w="600" w:type="pct"/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действующих предприятиях (в цехах, корпусах, на производственных площадках) при наличии в зоне производства работ действующего технологического оборудования, или разветвленной сети инженерных коммуникаций, или запыленности воздуха, или движения технологического транспорта по внутрицеховым и внутризаводским путям, что непосредственно влияет на выполнение пусконаладочных работ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на предприятиях металлургической, химической и нефтехимической промышленности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предприятиях (в цехах, корпусах, на производственных площадках), остановленных для производства работ по реконструкции, расширению, техническому перевооружению, а также в зданиях и сооружениях всех </w:t>
            </w: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назначений при наличии в зоне производства работ загромождающих помещения предметов (станков, установок, аппаратов, эксплуатационного и лабораторного оборудования, оргтехники, мебели и т.п.)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bookmarkStart w:id="7" w:name="i84475"/>
            <w:bookmarkEnd w:id="7"/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охранной зоне воздушных линий электропередачи, в местах прохода коммуникаций электроснабжения, в действующих электроустановках, (без оформления наряда-допуска или распоряжения) вблизи конструкций и предметов, находящихся под напряжением (в случаях, когда полное снятие напряжения по производственным условиям невозможно), если это связано с ограничением действий исполнителей работ специальными требованиями техники безопасности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Start w:id="8" w:name="i93277"/>
            <w:bookmarkEnd w:id="8"/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электроустановках, находящихся под напряжением с оформлением при этом наряда-допуска или распоряжения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электротехнических устройствах в действующих ядерных установках с оформлением при этом наряда-допуска или распоряжения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электрооборудовании, защищенном от воздействия окружающей среды по конструктивному исполнению: пыл</w:t>
            </w: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брызго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водозащищенном, герметическом, защищенном от агрессивной среды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источников ионизирующего излучения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категории</w:t>
            </w: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по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-взрывоопасности, на взрывоопасных блоках 1-й, 2-й и 3-й категорий взрывоопасности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действующих цехах предприятий с вредными условиями труда, в которых рабочим промышленного предприятия установлен сокращенный рабочий день, а работники, выполняющие пусконаладочные работы, имеют рабочий день нормальной продолжительности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наличии, кроме того: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условий, указанных в п. 1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условий, указанных в п. 2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действующих цехах предприятий с вредными условиями труда, если работники, занятые на пусконаладочных работах, переведены на сокращенный рабочий день: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36-часовой рабочей неделе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30-часовой рабочей неделе</w:t>
            </w:r>
          </w:p>
        </w:tc>
        <w:tc>
          <w:tcPr>
            <w:tcW w:w="4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24-часовой рабочей неделе</w:t>
            </w:r>
          </w:p>
        </w:tc>
        <w:tc>
          <w:tcPr>
            <w:tcW w:w="4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температуре воздуха на рабочем месте более 40</w:t>
            </w: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bookmarkStart w:id="9" w:name="i107834"/>
            <w:bookmarkEnd w:id="9"/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температуре воздуха на рабочем месте ниже 0</w:t>
            </w: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режимных объектах, где в силу режима секретности применяются специальный допуск, специальный пропуск и другие ограничения для пусконаладочного персонала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закрытых сооружениях (помещениях), находящихся ниже 3 м от поверхности земли, за исключением шахт, рудников, метрополитенов, тоннелей и подземных сооружений специального назначения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объектах, расположенных в горной местности на высоте над уровнем моря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до 2500 м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 до 3000 м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3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 до 3500 м</w:t>
            </w:r>
          </w:p>
        </w:tc>
        <w:tc>
          <w:tcPr>
            <w:tcW w:w="60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Примечания: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Применение коэффициентов должно быть обосновано данными проекта или согласованной с заказчиком программой работ. При этом коэффициенты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применяются к затратам тех этапов работ, которые фактически выполняются в более сложных производственных условиях.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пусконаладочным работам, производимым в действующих электроустановках, относятся работы, выполняемые после введения эксплуатационного режима на данной электроустановке - в соответствии с положениями, приведенными в п. 4 </w:t>
      </w:r>
      <w:hyperlink r:id="rId29" w:tooltip="Электротехнические устройства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3.05.06-85</w:t>
        </w:r>
      </w:hyperlink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«Электротехнические устройства».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Коэффициенты, приведенные в табл. 2, не применяются при производстве работ в подземных условиях в метрополитенах, тоннелях и подземных сооружениях специального назначения, за исключением коэффициентов, приведенных в </w:t>
      </w:r>
      <w:hyperlink r:id="rId30" w:anchor="i84475" w:tooltip="пункт 4" w:history="1">
        <w:proofErr w:type="spellStart"/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</w:t>
        </w:r>
        <w:proofErr w:type="spellEnd"/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4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i93277" w:tooltip="пункт 5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выполнении работ в условиях, предусмотренных в табл. 2, может быть применен только один из коэффициентов. Исключение составляют коэффициенты, приведенные в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 4, 5, 13, 14, 15 и 18, каждый из которых может применяться одновременно с одним из других коэффициентов, содержащихся в данной таблице (при этом коэффициенты перемножаются).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вредным условиям производства работ рекомендуется относить работы при наличии свинца, цинка, ртути, пыли тяжелых металлов, радиации, а также работы в действующих предприятиях здравоохранения (туберкулезные диспансеры, лепрозории и т.д.), где в соответствии с действующим законодательством для работников основного производства установлен сокращенный рабочий день.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сметной стоимости пусконаладочных работ, выполняемых в подземных условиях в шахтах, рудниках, метрополитенах, тоннелях и подземных сооружениях специального назначения, к расценкам (к оплате труда пусконаладочного персонала) необходимо применять коэффициенты, приведенные в табл. 3.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7618"/>
        <w:gridCol w:w="1420"/>
      </w:tblGrid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pct"/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 производства работ</w:t>
            </w:r>
          </w:p>
        </w:tc>
        <w:tc>
          <w:tcPr>
            <w:tcW w:w="550" w:type="pct"/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поверхности действующих и строящихся шахт, рудников, метрополитенов, тоннелей и подземных сооружений специального назначения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строительстве, техническом перевооружении и реконструкции метрополитенов, тоннелей и подземных сооружений специального назначения - при открытом способе работ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подземном способе работ: на действующих и строящихся предприятиях горно-химической промышленности, черной и цветной металлургии, промышленности строительных материалов, на строительстве, техническом перевооружении и реконструкции метрополитенов, тоннелей и подземных сооружений специального назначения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строительстве, реконструкции, техническом перевооружении угольных и сланцевых шахт: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36-часовой рабочей неделе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30-часовой рабочей неделе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24-часовой рабочей неделе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подземных условиях в эксплуатируемых тоннелях метрополитенов в ночное время после снятия напряжения (в «окно»):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рабочих в течение рабочей смены только для выполнения работ, связанных с «окном»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2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части рабочей смены (до пуска рабочих в тоннель и после выхода из тоннеля) для выполнения работ, несвязанных с «окном»</w:t>
            </w:r>
          </w:p>
        </w:tc>
        <w:tc>
          <w:tcPr>
            <w:tcW w:w="550" w:type="pct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 производстве работ в условиях, предусмотренных в табл. 3, может быть применен только один из коэффициентов.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Применение коэффициентов, приведенных в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 7 и 8, при составлении сметной документации должно быть обосновано данными проекта.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Коэффициенты табл. 3 не применяются к затратам труда пусконаладочного персонала.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Пусконаладочные работы выполняются, как правило, в отапливаемых помещениях. В тех случаях, когда осуществляется подготовка к сдаче в эксплуатацию зданий и сооружений, которые по своим технологическим признакам не должны отапливаться, или сооружений на открытом воздухе, дополнительные затраты, связанные со снижением производительности труда пусконаладочного персонала при температуре воздуха на рабочем месте ниже 0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применением к расценкам коэффициента, приведенного </w:t>
      </w:r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2" w:anchor="i107834" w:tooltip="пункт 17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17 табл. 2</w:t>
        </w:r>
      </w:hyperlink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сборника сметных норм дополнительных затрат при производстве строительно-монтажных работ в зимнее время (ГСН 81-05-02-2001) при определении стоимости пусконаладочных работ не допускается.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Пусконаладочные работы по лифтам любой грузоподъемности выполняются только по их электротехническим системам. Стоимость этих работ определяется по расценкам сборника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«Электротехнические устройства», отдел 14 «Лифты электрические». Затраты на статические и динамические испытания, регулировку и настройку оборудования и механизмов лифтов (механическая часть), обеспечивающие ввод лифтов в эксплуатацию, учтены расценками сборника федеральных единичных расценок на монтаж оборудования (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) № 3 «Подъемно-транспортное оборудование» и в сметы на пусконаладочные работы не включаются.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случаях, когда пусконаладочные работы выполняются на нескольких однотипных единицах оборудования, расценки по второй и последующим единицам оборудования следует принимать с понижающим коэффициентом, указанным в технической части или вводных указаниях соответствующего сборника.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112569"/>
      <w:bookmarkEnd w:id="10"/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повторных пусконаладочных работ (до сдачи объекта в эксплуатацию) к расценкам соответствующих видов оборудования (работ) необходимо применять коэффициенты, приведенные в технических частях или вводных указаниях сборников.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повторным выполнением пусконаладочных работ следует понимать работы, вызванные изменением технологического процесса, режима работы оборудования, что связано с частичным изменением проекта, а также вынужденной заменой оборудования. Необходимость в повторном выполнении работ должна подтверждаться обоснованным заданием (письмом) заказчика.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монтажные и пусконаладочные работы по какому-либо оборудованию выполняются одним и тем же звеном (бригадой), расценки на пусконаладочные работы по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такому оборудованию следует принимать с коэффициентом 0,8. Выполнение монтажных и пусконаладочных работ одной и той же организацией, но разными звеньями (бригадами) не является основанием для применения коэффициента 0,8.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пусконаладочные работы производятся при техническом руководстве шеф-персонала предприятий-изготовителей оборудования или фирм-поставщиков (шеф-наладка), расценки на пусконаладочные работы принимаются с коэффициентом 0,8.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для оплаты услуг предприятий, осуществляющих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шеф-наладочные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предусматриваются в главе 4 сводной сметы на ввод в эксплуатацию предприятия, здания, сооружения в порядке, изложенном в </w:t>
      </w:r>
      <w:hyperlink r:id="rId33" w:anchor="i185108" w:tooltip="пункт 5.8.2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5.8.2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расчетах за выполненные пусконаладочные работы, когда договором предусматривается промежуточная оплата, следует руководствоваться составом и структурой (по этапам) этих работ,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приведенными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частях или вводных указаниях сборников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ГЭСНп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иные условия взаиморасчетов не предусмотрены договором). Расчеты производятся только за законченные этапы работ, при условии выполнения полного перечня работ (операций), предусмотренного содержанием данного этапа.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11" w:name="i127530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3. ПОРЯДОК ОПРЕДЕЛЕНИЯ ЕДИНИЧНЫХ РАСЦЕНОК ПО ОБОРУДОВАНИЮ, ОТСУТСТВУЮЩЕМУ В СБОРНИКАХ </w:t>
      </w:r>
      <w:proofErr w:type="spellStart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ФЕРп</w:t>
      </w:r>
      <w:bookmarkEnd w:id="11"/>
      <w:proofErr w:type="spellEnd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отсутствии в сборниках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видов оборудования, в том числе импортного, расценки на пусконаладочные работы могут определяться: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оборудования, близкого по назначению, технической характеристике и конструктивной сложности приведенному в сборнике, - по расценке, для этого оборудования, без ее корректировки (применительно);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экспериментального или опытного оборудования - по расценке для аналогичного оборудования с коэффициентом 1,2;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оборудования-аналога в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основе индивидуальной единичной расценки, разрабатываемой в соответствии с порядком, изложенным в п. 4.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12" w:name="i137492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4. ПОРЯДОК РАЗРАБОТКИ ИНДИВИДУАЛЬНЫХ ЕДИНИЧНЫХ РАСЦЕНОК НА ПУСКОНАЛАДОЧНЫЕ РАБОТЫ</w:t>
      </w:r>
      <w:bookmarkEnd w:id="12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единичные расценки на пусконаладочные работы разрабатываются организациями-заказчиками, подрядчиками, проектными и другими заинтересованными организациями в тех случаях, когда отсутствуют соответствующие виды оборудования (работ) или их аналоги в сборниках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для оборудования импортного,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нестандартизированного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единичного изготовления.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индивидуальной единичной расценки ведется по </w:t>
      </w:r>
      <w:hyperlink r:id="rId34" w:anchor="i236639" w:tooltip="Расчет индивидуальной единичной расценки на пусконаладочные работы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1</w:t>
        </w:r>
      </w:hyperlink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2, с учетом следующих требований: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В графу 3 индивидуальной расценки включается подробный перечень выполняемых работ (трудовых процессов) в соответствии с нормативной и технической документацией, приведенной в </w:t>
      </w:r>
      <w:hyperlink r:id="rId35" w:anchor="i48409" w:tooltip="пункт 1.14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1.14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пусконаладочных работ не должны включаться работы, перечисленные </w:t>
      </w:r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6" w:anchor="i54874" w:tooltip="пункт 1.17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1.17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относящиеся к пусконаладочным работам.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звена (бригады) исполнителей пусконаладочных работ устанавливается на основании нормативной и технической документации, в соответствии с действующим ЕТКС работ и профессий, с учетом правил техники безопасности.</w:t>
      </w:r>
      <w:proofErr w:type="gramEnd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Затраты труда пусконаладочного персонала должны приниматься на основе утвержденных в установленном порядке нормативов трудозатрат, а при их отсутствии определяться методами технического нормирования труда (хронометраж, самофотографирование трудовых процессов и т.п.). При невозможности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методов технического нормирования затраты труда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 основе метода экспертных оценок.</w:t>
      </w:r>
      <w:r w:rsidRPr="002772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определения норм затрат труда на пусконаладочные работы на основе метода экспертных оценок разработана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ВНИПИтруда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строительстве в 1989 г.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Стоимость 1 чел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по категориям работников-исполнителей пусконаладочных работ в базисном уровне цен по состоянию на 1 января 2000 г. принимается в соответствии с </w:t>
      </w:r>
      <w:hyperlink r:id="rId37" w:anchor="i63761" w:tooltip="таблица 1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1</w:t>
        </w:r>
      </w:hyperlink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Указаний. Накладные расходы и сметная прибыль в единичные расценки не включаются.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Индивидуальные единичные расценки, удовлетворяющие необходимым требованиям, утверждаются заказчиком в составе сметной документации на пусконаладочные работы.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объектов, строящихся с привлечением средств федерального бюджета, индивидуальные единичные расценки применяются после их согласования с соответствующим уполномоченным федеральным органом исполнительной власти в области строительства.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единичные расценки, разработанные на основе индивидуальных норм, прошедшие апробацию, рекомендуется направлять заинтересованными организациями в ФГУП ЦНИИЭУС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Росстроя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систематизации и последующего включения в качестве дополнений в действующие сборники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ГЭСНп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13" w:name="i142392"/>
      <w:bookmarkStart w:id="14" w:name="i152316"/>
      <w:bookmarkEnd w:id="13"/>
      <w:bookmarkEnd w:id="14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5. ОПРЕДЕЛЕНИЕ СМЕТНОЙ СТОИМОСТИ ПУСКОНАЛАДОЧНЫХ РАБОТ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Сметная стоимость пусконаладочных работ в текущем уровне цен может быть рассчитана: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ресурсным методом - на основе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ГЭСНп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изложенном в Указаниях по применению государственных элементных сметных норм на пусконаладочные работы (МДС 81-27.2001);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базисно-индексным методом - на основе единичных расценок (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порядке, изложенном в</w:t>
      </w:r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anchor="i174781" w:tooltip="пункт 5.3.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5.3.</w:t>
        </w:r>
      </w:hyperlink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текущих и прогнозных индексов по отношению к затратам, исчисленным в базисном уровне цен по состоянию на 1 января 2000 года.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Текущие (прогнозные) индексы разрабатываются, как правило, региональными центрами по ценообразованию в строительстве в соответствии с методическими рекомендациями Госстроя России.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могут разрабатываться также организациями-заказчиками, подрядчиками или другими организациями по их поручению.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сметной стоимости полного комплекса пусконаладочных работ на основании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ГЭСНп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следующий порядок отнесения затрат в сметной документации: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Затраты на проведение пусконаладочных работ «вхолостую», относящиеся к капитальным затратам, включаются в главу 9 «Прочие работы и затраты» (графы 7 и 8) сводного сметного расчета стоимости строительства.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средств на выполнение пусконаладочных работ «вхолостую» в сводном сметном расчете стоимости строительства предусматривается проектной организацией в размере, согласованном с заказчиком (инвестором), на основании данных объектов аналогов, укрупненных сметных нормативов, других данных заказчика.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Затраты на пусконаладочные работы «под нагрузкой», как расходы некапитального характера, включаются в сводную смету на ввод предприятия, здания, сооружений в эксплуатацию и относятся: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объектам производственного назначения - к основной деятельности эксплуатирующей организации (предприятия) с включением в себестоимость продукции;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объектам непроизводственного назначения - к расходам на содержание здания, сооружения.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163957"/>
      <w:bookmarkEnd w:id="15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При отнесении затрат на выполнение пусконаладочных работ «вхолостую» и «под нагрузкой» рекомендуется руководствоваться структурой полного комплекса пусконаладочных работ, приведенной в табл. 4.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комплекса пусконаладочных работ,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учтенная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сборниках государственных элементных сметных норм (ГЭСНп-2001) и федеральных единичных расценок (ФЕРп-2001)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пусконаладочные работы,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введенных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Госстроем России в 2000-2003 гг.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837"/>
        <w:gridCol w:w="934"/>
        <w:gridCol w:w="741"/>
        <w:gridCol w:w="1940"/>
        <w:gridCol w:w="2131"/>
      </w:tblGrid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сборников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отделов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разделов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таблиц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пусконаладочных работ «вхолостую»,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пусконаладочных работ «под нагрузкой», %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Электротехнические устройства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</w:t>
              </w:r>
            </w:hyperlink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«Электротехнические </w:t>
            </w:r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Автоматизированные системы управления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</w:t>
              </w:r>
            </w:hyperlink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«Автоматизированные системы управления»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Системы вентиляции и кондиционирования воздуха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3</w:t>
              </w:r>
            </w:hyperlink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«Системы вентиляции и кондиционирования воздуха»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Подъемно-транспортное оборудование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4</w:t>
              </w:r>
            </w:hyperlink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«Подъемно-транспортное оборудование»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Металлообрабатывающее оборудование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5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«Металлообрабатывающее оборудование»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Холодильные и компрессорные установки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6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«Холодильные и компрессорные установки»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Теплоэнергетическое оборудование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7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«Теплоэнергетическое оборудование»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Деревообрабатывающее оборудование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8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«Деревообрабатывающее оборудование»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4F07A8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Сооружения водоснабжения и канализации" w:history="1">
              <w:r w:rsidR="002772AF" w:rsidRPr="004F07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9</w:t>
              </w:r>
            </w:hyperlink>
            <w:r w:rsidR="002772AF" w:rsidRPr="004F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2AF"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«Сооружения водоснабжения и канализации»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технологического оборудования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по данным заказчика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*Примечание: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предусмотренные в отделе 02 сборника № 3 и в отделе 08 сборника № 7 не относятся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пусконаладочным и выполняются на действующих предприятиях по отдельному договору с заказчиком.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Расчеты за пусконаладочные работы осуществляются на основании локальной сметы, которая, по поручению заказчика, может быть составлена как проектной, так и пусконаладочной организацией.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подрядной организацией полного комплекса работ в соответствии с договором, оплате подлежит полный объем указанных работ. При этом заказчиком используются разные источники средств: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производство пусконаладочных работ «вхолостую» - за счет сводного сметного расчета стоимости строительства;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производство пусконаладочных работ «под нагрузкой» - за счет сводной сметы на ввод в эксплуатацию предприятия, здания, сооружения.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i174781"/>
      <w:bookmarkEnd w:id="16"/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сметной документации на пусконаладочные работы и ввод объекта в эксплуатацию.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В сметной документации должны быть отражены все виды затрат, необходимых для ввода предприятия, здания, сооружения в эксплуатацию: затраты на оплату работ, выполненных подрядными пуско-наладочными организациями, приобретение заказчиком энергетических ресурсов, материалов, сырья и полуфабрикатов; содержание эксплуатационного персонала, привлекаемого на период ввода объекта в эксплуатацию; прочие затраты подрядных организаций и заказчика.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Для определения сметной стоимости пусконаладочных работ и других затрат, связанных с вводом предприятия, здания, сооружения в эксплуатацию, составляется следующая сметная документация: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сводная смета на ввод в эксплуатацию предприятия, здания, сооружения;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сметные расчеты (локальные сметы) на виды пусконаладочных работ;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сметные расчеты стоимости материальных ресурсов и сырья;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сметные расчеты затрат на содержание эксплуатационного персонала;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расчеты прочих затрат.</w:t>
      </w:r>
    </w:p>
    <w:p w:rsidR="002772AF" w:rsidRPr="004F07A8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формы сметной документации приводятся в </w:t>
      </w:r>
      <w:hyperlink r:id="rId48" w:anchor="i274080" w:tooltip="Формы сметной документации на пусконаладочные работы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3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применение и других форм, более удобных для пользователей.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необходимости, может быть составлен объектный сметный расчет (объектная смета) по </w:t>
      </w:r>
      <w:hyperlink r:id="rId49" w:anchor="i274080" w:tooltip="Сводная смета на ввод в эксплуатацию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2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сметы.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сметной документации позволяют составлять ее в определенной последовательности, переходя от локальных сметных расчетов (локальных смет), которые являются первичными сметными документами и составляются на отдельные виды работ, к объектным и сводным сметам, определяющим сметный лимит средств, необходимых для полного завершения работ, предусмотренных проектом.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случаях, когда на объекте подрядной организацией выполняется только один вид пусконаладочных работ, в качестве сводной сметы используется локальный сметный расчет (локальная смета). При этом в конце локального сметного расчета (локальной сметы) включаются прочие затраты, резерв средств на непредвиденные работы и затраты, а также сумма средств по уплате НДС.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При строительстве объектов жилищно-гражданского назначения, ввод которых не связан с выпуском продукции, сводные сметы составляются на основании локальных сметных расчетов (локальных смет) и расчетов прочих затрат.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5.4.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сметы на ввод в эксплуатацию предприятий, зданий, сооружений.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5.4.1.Сводные сметы на ввод в эксплуатацию предприятий, зданий, сооружений (в дальнейшем изложении - сводные сметы) являются документами, определяющими сметный лимит средств, необходимых для проведения пусконаладочных работ «под нагрузкой», комплексного опробования оборудования с выпуском первой партии продукции, обеспечивающих ввод в эксплуатацию вновь строящихся, реконструируемых, расширяемых и технически перевооружаемых объектов.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Сводные сметы составляются на основании: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технических и технико-экономических показателей проекта;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продолжительности пускового периода, комплексного опробования оборудования и других нормативов, установленных ведомственными (отраслевыми) положениями и инструкциями;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производственных программ и графиков;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отраслевых правил приемки в эксплуатацию законченных строительством объектов, цехов и производств;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локальных расчетов (локальных смет), калькуляций, договоров, контрактов и других необходимых данных.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Сводная смета составляется по </w:t>
      </w:r>
      <w:hyperlink r:id="rId50" w:anchor="i274080" w:tooltip="Сводная смета на ввод в эксплуатацию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2</w:t>
        </w:r>
      </w:hyperlink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3. В нее включаются отдельными строками итоги по всем локальным сметным расчетам (локальным сметам) и другой первичной сметной документации на отдельные виды затрат. Позиции сводной сметы должны иметь ссылку на номер указанных документов.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В сводной смете средства распределяются, как правило, по следующим главам: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Пусконаладочные работы («под нагрузкой»), выполняемые подрядными организациями.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Сырье и материальные ресурсы.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эксплуатационного персонала.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работы и затраты.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с учетом особенностей отдельных отраслей экономики, наименования и номенклатура глав сводной сметы могут быть изменены.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глав сводной сметы могут выделяться в отдельные разделы объекты, производства или комплексы.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 сводной смете должен предусматриваться резерв средств на непредвиденные работы и затраты, предназначенный для возмещения стоимости: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дополнительных или повторных работ, потребность в которых возникает в период ввода предприятия, здания, сооружения в эксплуатацию;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дополнительных затрат в связи с возможным увеличением стоимости материальных ресурсов, услуг, ростом оплаты труда;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компенсируемых прочих затрат подрядных организаций, если подтвержденные в установленном порядке фактические затраты превысили сумму средств, предусмотренную главой 4 «Прочие работы и затраты».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средств определяется от итога глав 1-4 в размере не более 2% для объектов социальной сферы и не более 3% для объектов производственного назначения и распределяется по соответствующим главам сводной сметы пропорционально сметной стоимости работ и затрат.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 сводной смете приводятся следующие итоги: по каждой главе (при наличии в главе разделов - по каждому разделу), по сумме глав 1-4, а также после начисления резерва средств на непредвиденные работы и затраты - «Всего по сводной смете».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итогом сводной сметы указываются: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возвратные суммы, учитывающие стоимость готовой продукции и незавершенного производства,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комплексного опробования оборудования и выпуска первой партии продукции, предусмотренной проектом. Возвратные суммы рассчитываются исходя из программы выпуска продукции с учетом действующих цен. Стоимость некондиционной продукции, брака и отходов определяется по ценам их возможной реализации или утилизации (в случае невозможности реализации брака и отходов, их стоимость в возвратных суммах не учитывается);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налога на добавленную стоимость (НДС) в размере, устанавливаемом законодательством Российской Федерации.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 К сводной смете составляется пояснительная записка, в которой приводятся необходимые сведения о предприятии, технико-экономических показателях проекта, организациях, участвующих в обеспечении ввода предприятия в эксплуатацию, составе сметной документации, используемых нормативах и другие данные.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сметные расчеты (локальные сметы).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Локальные сметные расчеты (локальные сметы) составляются на виды пусконаладочных работ в соответствии со специализацией подрядных пусконаладочных организаций: по электротехническим устройствам, автоматизированным системам управления, системам вентиляции, технологическому оборудованию и т.д.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Локальный сметный расчет (локальная смета), составляется по </w:t>
      </w:r>
      <w:hyperlink r:id="rId51" w:anchor="i324083" w:tooltip="Локальный сметный расчет №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3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3 на основании: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и рабочей документации (РД), включая спецификации и ведомости на оборудование, чертежи, схемы, а также пояснительные записки к проектным материалам;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технической документации, программы проведения пусконаладочных работ;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действующих сметных нормативов на пусконаладочные работы - сборников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ОЕРп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индивидуальных единичных расценок на пусконаладочные работы - на оборудование и виды работ, отсутствующие в действующих сметных нормативах;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действующих нормативов накладных расходов и сметной прибыли на пусконаладочные работы.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Размер средств на оплату труда пусконаладочного персонала в локальных сметах рассчитывается с учетом применения к прямым затратам (заработной плате) поправочных коэффициентов, приведенных в соответствующих сборниках единичных расценок и настоящих Указаниях.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коэффициентов, учитывающих более сложные условия производства работ, при составлении смет должно быть обосновано проектом, а при расчетах за выполненные работы - актами, фиксирующими фактические условия выполнения работ.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В локальных сметах отдельной строкой могут приводиться затраты на эксплуатацию производственного оборудования, непосредственно используемого при проведении пусконаладочных работ (дорогостоящих приборов, аппаратуры, электронно-вычислительной техники, передвижных испытательных лабораторий и т.п.), не учитываемых в составе норм накладных расходов на пусконаладочные работы.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эксплуатации такого производственного оборудования определяется на основании расчета, исходя из продолжительности его использования по производственной необходимости (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и стоимости 1 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.-ч, рассчитанной в соответствии с Методическими указаниями по разработке сметных норм и расценок на эксплуатацию строительных машин и автотранспортных средств (МДС 81-3.99).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5.5.5. При необходимости, в локальных сметах могут также учитываться затраты на вспомогательные ненормируемые материалы, имея в виду что затраты на основные материальные ресурсы, обеспечение которыми осуществляется заказчиком, учитываются в главе 2 сводной сметы.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указанных вспомогательных материалов определяется расчетом, исходя из их расхода по данным подрядных организаций, согласованным с заказчиком, и сметных цен франко-</w:t>
      </w:r>
      <w:proofErr w:type="spell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приобъектный</w:t>
      </w:r>
      <w:proofErr w:type="spell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5.5.6. Накладные расходы в составе локальных сметных расчетов (локальных смет) на пусконаладочные работы определяются в соответствии с Методическими указаниями по определению величины накладных расходов в строительстве (МДС 81-33.2004, МДС 81-34.2004).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прибыль определяется в соответствии с Методическими указаниями по определению величины сметной прибыли в строительстве (МДС 81-25.2001), с последующими дополнениями и изменениями.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5.5.7. Из общей сметной стоимости пусконаладочных работ, рассчитанной по локальной смете, выделяются (в том числе) затраты на выполнение работ «вхолостую» и «под нагрузкой» - в соответствии с </w:t>
      </w:r>
      <w:bookmarkStart w:id="17" w:name="_GoBack"/>
      <w:r w:rsidR="004F07A8" w:rsidRPr="004F07A8">
        <w:fldChar w:fldCharType="begin"/>
      </w:r>
      <w:r w:rsidR="004F07A8" w:rsidRPr="004F07A8">
        <w:instrText xml:space="preserve"> HYPERLINK "http://profsmeta3dn.ru/other/pub</w:instrText>
      </w:r>
      <w:r w:rsidR="004F07A8" w:rsidRPr="004F07A8">
        <w:instrText xml:space="preserve">l/normy/mds_81-40_2006.htm" \l "i163957" \o "пункт 5.2.3" </w:instrText>
      </w:r>
      <w:r w:rsidR="004F07A8" w:rsidRPr="004F07A8">
        <w:fldChar w:fldCharType="separate"/>
      </w:r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5.2.3</w:t>
      </w:r>
      <w:r w:rsidR="004F07A8"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7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5.5.8. Сметы на повторные и дополнительные пусконаладочные работы (</w:t>
      </w:r>
      <w:hyperlink r:id="rId52" w:anchor="i112569" w:tooltip="пункт 2.6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</w:t>
        </w:r>
      </w:hyperlink>
      <w:r w:rsidRPr="004F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составляются отдельно от основных локальных смет. Затраты на повторное выполнение 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пусконаладочных работ для исправления брака или отступлений от технологии производства работ в указанные сметы не включаются.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стоимости сырья материальных ресурсов.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главу 2 сводной сметы включается стоимость сырья, основных и вспомогательных материалов, покупных изделий, полуфабрикатов, образующих основу изготавливаемой продукции или являющихся необходимыми компонентами при ее изготовлении, а также топлива, электроэнергии, пара, воды и других ресурсов, расходуемых в период наладочных, пусковых работ и комплексного опробования оборудования с выпуском первой партии продукции в соответствующем объеме.</w:t>
      </w:r>
      <w:proofErr w:type="gramEnd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сырья, материальных и энергетических ресурсов определяется на основании сметного расчета, составляемого по </w:t>
      </w:r>
      <w:hyperlink r:id="rId53" w:anchor="i357258" w:tooltip="Сметный расчет № _ стоимости сырья, материальных и топливно-энергетических ресурсов для пусконаладочных работ и комплексного опробования оборудования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4</w:t>
        </w:r>
      </w:hyperlink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3.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Расход сырья, материалов и энергоресурсов принимается по данным технико-экономической части проекта с учетом продолжительности пусконаладочных работ и программы выпуска продукции.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сырья, материальных и энергетических ресурсов рассчитывается по действующим тарифам на энергоресурсы, текущим ценам на сырье, продукцию, материалы с учетом затрат на тару и упаковку, транспорт, погрузочно-разгрузочные работы, услуги посреднических организаций, заготовительно-складские расходы и др.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затрат на содержание эксплуатационного персонала.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 В главу 3 сводной сметы включаются затрат на содержание эксплуатационного персонала, определяемые на основании сметного расчета, составляемого по </w:t>
      </w:r>
      <w:hyperlink r:id="rId54" w:anchor="i392952" w:tooltip="Сметный расчет № __ затрат на содержание эксплуатационного персонала на период пусконаладочных работ и комплексного опробования оборудования" w:history="1">
        <w:r w:rsidRPr="004F0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5</w:t>
        </w:r>
      </w:hyperlink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3.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эксплуатационного персонала рассчитываются на основании следующих исходных данных: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численности основных производственных рабочих (аппаратчиков, операторов, машинистов и т.п.), вспомогательных рабочих, инженерно-технических работников и служащих, младшего обслуживающего персонала, привлекаемых на период проведения пусконаладочных работ, включая комплексное опробование оборудования;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продолжительности участия каждой категории работников в пусконаладочных работах (в рабочих днях) и комплексном опробовании оборудования (в часах);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действующих в отрасли тарифные ставки и оклады, с учетом необходимых отчислений на социальные нужды в соответствии с действующим законодательством.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Затраты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эксплуатационного персонала в период освоения проектной мощности производственных объектов в сводную смету на ввод в эксплуатацию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включаются.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Прочие работы и затраты.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5.8.1. В главу 4 сводной сметы включаются суммы средств, расходуемых заказчиком для возмещения в виде компенсации затрат подрядных пусконаладочных организаций, не связанных непосредственно с выполнением пусконаладочных работ.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включении прочих работ и затрат в главу 4 сводной сметы необходимо руководствоваться их составом и порядком определения,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приведенными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8 к Методике определения стоимости строительной продукции на территории Российской Федерации (МДС 81-35.2004).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состав главы 4 сводной сметы могут включаться затраты на составление сметной документации на пусконаладочные работы, определяемые на основе фактических трудозатрат, согласованных с заказчиком. При этом стоимость работ по составлению сметы не должна превышать 1% сметной стоимости пусконаладочных работ.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i185108"/>
      <w:bookmarkEnd w:id="18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5.8.2. В главу «Прочие работы и затраты», при необходимости, включаются также затраты заказчика на оплату услуг проектных, конструкторских, научно-исследовательских и др. организаций, предприятий-изготовителей оборудования, иностранных фирм для оказания технической помощи: консультаций, экспертизы,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шеф-наладочных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др.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затраты определяются расчетами на основании договоров (контрактов) исходя из численности специалистов, продолжительности их участия в пусконаладочных работах и стоимости одного чел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согласованных с заказчиком.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19" w:name="i191871"/>
      <w:bookmarkStart w:id="20" w:name="i204044"/>
      <w:bookmarkEnd w:id="19"/>
      <w:bookmarkEnd w:id="20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Приложение 1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21" w:name="i217538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Перечень сборников федеральных единичных расценок на пусконаладочные работы (</w:t>
      </w:r>
      <w:proofErr w:type="spellStart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ФЕРп</w:t>
      </w:r>
      <w:proofErr w:type="spellEnd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)</w:t>
      </w:r>
      <w:bookmarkEnd w:id="21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5308"/>
        <w:gridCol w:w="3033"/>
      </w:tblGrid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сборника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сборника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(шифр) сборника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устройства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81-04-01-2001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81-04-02-2001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вентиляции и кондиционирования воздуха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81-04-03-2001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Подъемно-транспортное оборудование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81-04-04-2001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Металлообрабатывающее оборудование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81-04-05-2001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установки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81-04-06-2001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Теплоэнергетическое оборудование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81-04-07-2001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Деревообрабатывающее оборудование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81-04-08-2001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водоснабжения и канализации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81-04-09-2001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22" w:name="i225827"/>
      <w:bookmarkStart w:id="23" w:name="i236639"/>
      <w:bookmarkEnd w:id="22"/>
      <w:bookmarkEnd w:id="23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Приложение 2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24" w:name="i247761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Форма № 1</w:t>
      </w:r>
      <w:bookmarkEnd w:id="24"/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25" w:name="i251316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Расчет</w:t>
      </w:r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индивидуальной единичной расценки на пусконаладочные работы</w:t>
      </w:r>
      <w:bookmarkEnd w:id="25"/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техническая характеристика оборудования (работ)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Измеритель______________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384"/>
        <w:gridCol w:w="1529"/>
        <w:gridCol w:w="466"/>
        <w:gridCol w:w="1231"/>
        <w:gridCol w:w="1749"/>
        <w:gridCol w:w="861"/>
        <w:gridCol w:w="575"/>
        <w:gridCol w:w="668"/>
        <w:gridCol w:w="575"/>
      </w:tblGrid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(трудовых процессов)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(должность, квалификация, категория, разряд)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труда, чел</w:t>
            </w: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руб.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ед. изм.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чел</w:t>
            </w: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26" w:name="i262843"/>
      <w:bookmarkStart w:id="27" w:name="i274080"/>
      <w:bookmarkEnd w:id="26"/>
      <w:bookmarkEnd w:id="27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Приложение 3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28" w:name="i287546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Формы сметной документации на пусконаладочные работы</w:t>
      </w:r>
      <w:bookmarkEnd w:id="28"/>
    </w:p>
    <w:p w:rsidR="002772AF" w:rsidRPr="002772AF" w:rsidRDefault="002772AF" w:rsidP="002772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29" w:name="i291860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Форма № 2</w:t>
      </w:r>
      <w:bookmarkEnd w:id="29"/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30" w:name="i304181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Сводная смета на ввод в эксплуатацию</w:t>
      </w:r>
      <w:bookmarkEnd w:id="30"/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здания, сооружения)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стоимость_______________________________ тыс. руб.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2772A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 том числе возвратных сумм______________________ тыс. руб.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ценах по состоянию на________________ 200___ г.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2772AF" w:rsidRPr="002772AF" w:rsidTr="002772AF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сметного расчета, локальной сметы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глав, объектов, работ и затрат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стоимость, тыс. руб.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31" w:name="i317235"/>
      <w:bookmarkStart w:id="32" w:name="i324083"/>
      <w:bookmarkEnd w:id="31"/>
      <w:bookmarkEnd w:id="32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Форма № 3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предприятия, здания, сооружения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33" w:name="i335139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Локальный сметный расчет № _____________</w:t>
      </w:r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(локальная смета)</w:t>
      </w:r>
      <w:bookmarkEnd w:id="33"/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на________________________________________________________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пусконаладочных работ, наименование объекта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Pr="002772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(спецификация, чертежи, схемы и т.п.)</w:t>
      </w: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стоимость ___________________________тыс. руб.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2772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Составлен</w:t>
      </w:r>
      <w:proofErr w:type="gramEnd"/>
      <w:r w:rsidRPr="002772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ценах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_________________ 200___ г.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206"/>
        <w:gridCol w:w="2228"/>
        <w:gridCol w:w="692"/>
        <w:gridCol w:w="1231"/>
        <w:gridCol w:w="1106"/>
        <w:gridCol w:w="575"/>
      </w:tblGrid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(шифр единичной расценки; номер индивидуальной расценки, обоснование коэффициентов и др.)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техническая характеристика оборудования или видов работ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 проекту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34" w:name="i341879"/>
      <w:bookmarkStart w:id="35" w:name="i357258"/>
      <w:bookmarkEnd w:id="34"/>
      <w:bookmarkEnd w:id="35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Форма № 4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предприятия, здания, сооружения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36" w:name="i363083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Сметный расчет № ___________</w:t>
      </w:r>
      <w:bookmarkEnd w:id="36"/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37" w:name="i376380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стоимости сырья, материальных и топливно-энергетических ресурсов для пусконаладочных работ и комплексного опробования оборудования</w:t>
      </w:r>
      <w:bookmarkEnd w:id="37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сырья, </w:t>
      </w:r>
      <w:proofErr w:type="gramStart"/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proofErr w:type="gramEnd"/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топливно-энергетических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_____________________________ тыс. руб.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ценах по состоянию на________________ 200___ 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384"/>
        <w:gridCol w:w="1824"/>
        <w:gridCol w:w="692"/>
        <w:gridCol w:w="692"/>
        <w:gridCol w:w="3179"/>
        <w:gridCol w:w="692"/>
        <w:gridCol w:w="575"/>
      </w:tblGrid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сметной стоимости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сырья, материалов, топлива и </w:t>
            </w: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энергоресурсов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сырья, материалов, топлива и энергоресурсов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ед.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пусконаладочных работ и программы выпуска </w:t>
            </w: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в период комплексного опробования оборудования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2AF" w:rsidRPr="002772AF" w:rsidTr="002772AF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38" w:name="i387269"/>
      <w:bookmarkStart w:id="39" w:name="i392952"/>
      <w:bookmarkEnd w:id="38"/>
      <w:bookmarkEnd w:id="39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Форма № 5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предприятия, здания, сооружения</w:t>
      </w:r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40" w:name="i401070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Сметный расчет № _____________</w:t>
      </w:r>
      <w:bookmarkEnd w:id="40"/>
    </w:p>
    <w:p w:rsidR="002772AF" w:rsidRPr="002772AF" w:rsidRDefault="002772AF" w:rsidP="00277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41" w:name="i418091"/>
      <w:r w:rsidRPr="002772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затрат на содержание эксплуатационного персонала на период пусконаладочных работ и комплексного опробования оборудования</w:t>
      </w:r>
      <w:bookmarkEnd w:id="41"/>
    </w:p>
    <w:p w:rsidR="002772AF" w:rsidRPr="002772AF" w:rsidRDefault="002772AF" w:rsidP="002772AF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содержания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эксплуатационного персонала__________________ тыс. руб.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пусконаладочных работ ____________________________ рабочих дней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комплексного опробования оборудования_________________ часов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ценах по состоянию на ______________ 200___ г.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529"/>
        <w:gridCol w:w="1231"/>
        <w:gridCol w:w="1084"/>
        <w:gridCol w:w="709"/>
        <w:gridCol w:w="1464"/>
        <w:gridCol w:w="707"/>
        <w:gridCol w:w="974"/>
        <w:gridCol w:w="1143"/>
        <w:gridCol w:w="257"/>
      </w:tblGrid>
      <w:tr w:rsidR="002772AF" w:rsidRPr="002772AF" w:rsidTr="002772AF">
        <w:trPr>
          <w:trHeight w:val="435"/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и должностей, категория или разряд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(часов) на период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труда, чел</w:t>
            </w:r>
            <w:proofErr w:type="gramStart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(чел.-ч)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(часовая) ставка по тарифу или окладу, руб.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 руб. (гр. 8×гр. 7)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AF" w:rsidRPr="002772AF" w:rsidTr="002772AF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AF" w:rsidRPr="002772AF" w:rsidTr="002772AF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наладки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опробования оборудования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AF" w:rsidRPr="002772AF" w:rsidTr="002772AF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AF" w:rsidRPr="002772AF" w:rsidTr="002772AF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AF" w:rsidRPr="002772AF" w:rsidTr="002772AF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AF" w:rsidRPr="002772AF" w:rsidTr="002772AF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AF" w:rsidRPr="002772AF" w:rsidTr="002772AF">
        <w:trPr>
          <w:trHeight w:val="30"/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772AF" w:rsidRPr="002772AF" w:rsidTr="002772AF">
        <w:trPr>
          <w:trHeight w:val="30"/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2AF" w:rsidRPr="002772AF" w:rsidRDefault="002772AF" w:rsidP="00277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AF" w:rsidRPr="002772AF" w:rsidRDefault="002772AF" w:rsidP="002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2772AF" w:rsidRPr="002772AF" w:rsidRDefault="002772AF" w:rsidP="002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Проверил:</w:t>
      </w:r>
    </w:p>
    <w:p w:rsidR="00EB475B" w:rsidRPr="002772AF" w:rsidRDefault="002772AF" w:rsidP="0027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B475B" w:rsidRPr="0027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7E"/>
    <w:rsid w:val="002772AF"/>
    <w:rsid w:val="004F07A8"/>
    <w:rsid w:val="0058337E"/>
    <w:rsid w:val="00E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7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7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7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72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772A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2772A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2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72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2AF"/>
  </w:style>
  <w:style w:type="paragraph" w:styleId="a3">
    <w:name w:val="Body Text"/>
    <w:basedOn w:val="a"/>
    <w:link w:val="a4"/>
    <w:uiPriority w:val="99"/>
    <w:semiHidden/>
    <w:unhideWhenUsed/>
    <w:rsid w:val="002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2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72AF"/>
  </w:style>
  <w:style w:type="character" w:styleId="a8">
    <w:name w:val="FollowedHyperlink"/>
    <w:basedOn w:val="a0"/>
    <w:uiPriority w:val="99"/>
    <w:semiHidden/>
    <w:unhideWhenUsed/>
    <w:rsid w:val="002772AF"/>
    <w:rPr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7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7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7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72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772A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2772A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2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72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2AF"/>
  </w:style>
  <w:style w:type="paragraph" w:styleId="a3">
    <w:name w:val="Body Text"/>
    <w:basedOn w:val="a"/>
    <w:link w:val="a4"/>
    <w:uiPriority w:val="99"/>
    <w:semiHidden/>
    <w:unhideWhenUsed/>
    <w:rsid w:val="002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2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72AF"/>
  </w:style>
  <w:style w:type="character" w:styleId="a8">
    <w:name w:val="FollowedHyperlink"/>
    <w:basedOn w:val="a0"/>
    <w:uiPriority w:val="99"/>
    <w:semiHidden/>
    <w:unhideWhenUsed/>
    <w:rsid w:val="002772AF"/>
    <w:rPr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7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smeta3dn.ru/other/publ/normy/mds_81-40_2006.htm" TargetMode="External"/><Relationship Id="rId18" Type="http://schemas.openxmlformats.org/officeDocument/2006/relationships/hyperlink" Target="http://profsmeta3dn.ru/other/publ/normy/mds_81-40_2006.htm" TargetMode="External"/><Relationship Id="rId26" Type="http://schemas.openxmlformats.org/officeDocument/2006/relationships/hyperlink" Target="http://profsmeta3dn.ru/other/publ/normy/mds_81-40_2006.htm" TargetMode="External"/><Relationship Id="rId39" Type="http://schemas.openxmlformats.org/officeDocument/2006/relationships/hyperlink" Target="file:///\\home\slava\Catalog_10.11.2009\Data1\41\41450\index.htm" TargetMode="External"/><Relationship Id="rId21" Type="http://schemas.openxmlformats.org/officeDocument/2006/relationships/hyperlink" Target="http://profsmeta3dn.ru/other/publ/normy/mds_81-40_2006.htm" TargetMode="External"/><Relationship Id="rId34" Type="http://schemas.openxmlformats.org/officeDocument/2006/relationships/hyperlink" Target="http://profsmeta3dn.ru/other/publ/normy/mds_81-40_2006.htm" TargetMode="External"/><Relationship Id="rId42" Type="http://schemas.openxmlformats.org/officeDocument/2006/relationships/hyperlink" Target="file:///\\home\slava\Catalog_10.11.2009\Data1\41\41069\index.htm" TargetMode="External"/><Relationship Id="rId47" Type="http://schemas.openxmlformats.org/officeDocument/2006/relationships/hyperlink" Target="file:///\\home\slava\Catalog_10.11.2009\Data1\41\41079\index.htm" TargetMode="External"/><Relationship Id="rId50" Type="http://schemas.openxmlformats.org/officeDocument/2006/relationships/hyperlink" Target="http://profsmeta3dn.ru/other/publ/normy/mds_81-40_2006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ofsmeta3dn.ru/other/publ/normy/mds_81-40_2006.htm" TargetMode="External"/><Relationship Id="rId12" Type="http://schemas.openxmlformats.org/officeDocument/2006/relationships/hyperlink" Target="http://profsmeta3dn.ru/other/publ/normy/mds_81-40_2006.htm" TargetMode="External"/><Relationship Id="rId17" Type="http://schemas.openxmlformats.org/officeDocument/2006/relationships/hyperlink" Target="http://profsmeta3dn.ru/other/publ/normy/mds_81-40_2006.htm" TargetMode="External"/><Relationship Id="rId25" Type="http://schemas.openxmlformats.org/officeDocument/2006/relationships/hyperlink" Target="http://profsmeta3dn.ru/other/publ/normy/mds_81-40_2006.htm" TargetMode="External"/><Relationship Id="rId33" Type="http://schemas.openxmlformats.org/officeDocument/2006/relationships/hyperlink" Target="http://profsmeta3dn.ru/other/publ/normy/mds_81-40_2006.htm" TargetMode="External"/><Relationship Id="rId38" Type="http://schemas.openxmlformats.org/officeDocument/2006/relationships/hyperlink" Target="http://profsmeta3dn.ru/other/publ/normy/mds_81-40_2006.htm" TargetMode="External"/><Relationship Id="rId46" Type="http://schemas.openxmlformats.org/officeDocument/2006/relationships/hyperlink" Target="file:///\\home\slava\Catalog_10.11.2009\Data1\41\41078\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ofsmeta3dn.ru/other/publ/normy/mds_81-40_2006.htm" TargetMode="External"/><Relationship Id="rId20" Type="http://schemas.openxmlformats.org/officeDocument/2006/relationships/hyperlink" Target="http://profsmeta3dn.ru/other/publ/normy/mds_81-40_2006.htm" TargetMode="External"/><Relationship Id="rId29" Type="http://schemas.openxmlformats.org/officeDocument/2006/relationships/hyperlink" Target="file:///\\home\slava\Catalog_10.11.2009\Data1\1\1920\index.htm" TargetMode="External"/><Relationship Id="rId41" Type="http://schemas.openxmlformats.org/officeDocument/2006/relationships/hyperlink" Target="file:///\\home\slava\Catalog_10.11.2009\Data1\39\39632\index.htm" TargetMode="External"/><Relationship Id="rId54" Type="http://schemas.openxmlformats.org/officeDocument/2006/relationships/hyperlink" Target="http://profsmeta3dn.ru/other/publ/normy/mds_81-40_200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profsmeta3dn.ru/other/publ/normy/mds_81-40_2006.htm" TargetMode="External"/><Relationship Id="rId11" Type="http://schemas.openxmlformats.org/officeDocument/2006/relationships/hyperlink" Target="http://profsmeta3dn.ru/other/publ/normy/mds_81-40_2006.htm" TargetMode="External"/><Relationship Id="rId24" Type="http://schemas.openxmlformats.org/officeDocument/2006/relationships/hyperlink" Target="http://profsmeta3dn.ru/other/publ/normy/mds_81-40_2006.htm" TargetMode="External"/><Relationship Id="rId32" Type="http://schemas.openxmlformats.org/officeDocument/2006/relationships/hyperlink" Target="http://profsmeta3dn.ru/other/publ/normy/mds_81-40_2006.htm" TargetMode="External"/><Relationship Id="rId37" Type="http://schemas.openxmlformats.org/officeDocument/2006/relationships/hyperlink" Target="http://profsmeta3dn.ru/other/publ/normy/mds_81-40_2006.htm" TargetMode="External"/><Relationship Id="rId40" Type="http://schemas.openxmlformats.org/officeDocument/2006/relationships/hyperlink" Target="file:///\\home\slava\Catalog_10.11.2009\Data1\41\41068\index.htm" TargetMode="External"/><Relationship Id="rId45" Type="http://schemas.openxmlformats.org/officeDocument/2006/relationships/hyperlink" Target="file:///\\home\slava\Catalog_10.11.2009\Data1\39\39631\index.htm" TargetMode="External"/><Relationship Id="rId53" Type="http://schemas.openxmlformats.org/officeDocument/2006/relationships/hyperlink" Target="http://profsmeta3dn.ru/other/publ/normy/mds_81-40_2006.htm" TargetMode="External"/><Relationship Id="rId5" Type="http://schemas.openxmlformats.org/officeDocument/2006/relationships/hyperlink" Target="http://profsmeta3dn.ru/other/publ/normy/mds_81-40_2006.htm" TargetMode="External"/><Relationship Id="rId15" Type="http://schemas.openxmlformats.org/officeDocument/2006/relationships/hyperlink" Target="http://profsmeta3dn.ru/other/publ/normy/mds_81-40_2006.htm" TargetMode="External"/><Relationship Id="rId23" Type="http://schemas.openxmlformats.org/officeDocument/2006/relationships/hyperlink" Target="http://profsmeta3dn.ru/other/publ/normy/mds_81-40_2006.htm" TargetMode="External"/><Relationship Id="rId28" Type="http://schemas.openxmlformats.org/officeDocument/2006/relationships/hyperlink" Target="http://profsmeta3dn.ru/other/publ/normy/mds_81-40_2006.htm" TargetMode="External"/><Relationship Id="rId36" Type="http://schemas.openxmlformats.org/officeDocument/2006/relationships/hyperlink" Target="http://profsmeta3dn.ru/other/publ/normy/mds_81-40_2006.htm" TargetMode="External"/><Relationship Id="rId49" Type="http://schemas.openxmlformats.org/officeDocument/2006/relationships/hyperlink" Target="http://profsmeta3dn.ru/other/publ/normy/mds_81-40_2006.htm" TargetMode="External"/><Relationship Id="rId10" Type="http://schemas.openxmlformats.org/officeDocument/2006/relationships/hyperlink" Target="http://profsmeta3dn.ru/other/publ/normy/mds_81-40_2006.htm" TargetMode="External"/><Relationship Id="rId19" Type="http://schemas.openxmlformats.org/officeDocument/2006/relationships/hyperlink" Target="http://profsmeta3dn.ru/other/publ/normy/mds_81-40_2006.htm" TargetMode="External"/><Relationship Id="rId31" Type="http://schemas.openxmlformats.org/officeDocument/2006/relationships/hyperlink" Target="http://profsmeta3dn.ru/other/publ/normy/mds_81-40_2006.htm" TargetMode="External"/><Relationship Id="rId44" Type="http://schemas.openxmlformats.org/officeDocument/2006/relationships/hyperlink" Target="file:///\\home\slava\Catalog_10.11.2009\Data1\41\41077\index.htm" TargetMode="External"/><Relationship Id="rId52" Type="http://schemas.openxmlformats.org/officeDocument/2006/relationships/hyperlink" Target="http://profsmeta3dn.ru/other/publ/normy/mds_81-40_20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meta3dn.ru/other/publ/normy/mds_81-40_2006.htm" TargetMode="External"/><Relationship Id="rId14" Type="http://schemas.openxmlformats.org/officeDocument/2006/relationships/hyperlink" Target="http://profsmeta3dn.ru/other/publ/normy/mds_81-40_2006.htm" TargetMode="External"/><Relationship Id="rId22" Type="http://schemas.openxmlformats.org/officeDocument/2006/relationships/hyperlink" Target="http://profsmeta3dn.ru/other/publ/normy/mds_81-40_2006.htm" TargetMode="External"/><Relationship Id="rId27" Type="http://schemas.openxmlformats.org/officeDocument/2006/relationships/hyperlink" Target="http://profsmeta3dn.ru/other/publ/normy/mds_81-40_2006.htm" TargetMode="External"/><Relationship Id="rId30" Type="http://schemas.openxmlformats.org/officeDocument/2006/relationships/hyperlink" Target="http://profsmeta3dn.ru/other/publ/normy/mds_81-40_2006.htm" TargetMode="External"/><Relationship Id="rId35" Type="http://schemas.openxmlformats.org/officeDocument/2006/relationships/hyperlink" Target="http://profsmeta3dn.ru/other/publ/normy/mds_81-40_2006.htm" TargetMode="External"/><Relationship Id="rId43" Type="http://schemas.openxmlformats.org/officeDocument/2006/relationships/hyperlink" Target="file:///\\home\slava\Catalog_10.11.2009\Data1\41\41075\index.htm" TargetMode="External"/><Relationship Id="rId48" Type="http://schemas.openxmlformats.org/officeDocument/2006/relationships/hyperlink" Target="http://profsmeta3dn.ru/other/publ/normy/mds_81-40_2006.ht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ofsmeta3dn.ru/other/publ/normy/mds_81-40_2006.htm" TargetMode="External"/><Relationship Id="rId51" Type="http://schemas.openxmlformats.org/officeDocument/2006/relationships/hyperlink" Target="http://profsmeta3dn.ru/other/publ/normy/mds_81-40_2006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8842</Words>
  <Characters>50401</Characters>
  <Application>Microsoft Office Word</Application>
  <DocSecurity>0</DocSecurity>
  <Lines>420</Lines>
  <Paragraphs>118</Paragraphs>
  <ScaleCrop>false</ScaleCrop>
  <Company/>
  <LinksUpToDate>false</LinksUpToDate>
  <CharactersWithSpaces>59125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2012-09-28T07:48:00Z</cp:lastPrinted>
  <dcterms:created xsi:type="dcterms:W3CDTF">2012-09-28T07:40:00Z</dcterms:created>
  <dcterms:modified xsi:type="dcterms:W3CDTF">2012-10-23T10:41:00Z</dcterms:modified>
</cp:coreProperties>
</file>